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eastAsia="宋体" w:cs="宋体"/>
          <w:b/>
          <w:bCs/>
          <w:sz w:val="44"/>
          <w:szCs w:val="44"/>
          <w:lang w:eastAsia="zh-CN"/>
        </w:rPr>
      </w:pPr>
      <w:r>
        <w:rPr>
          <w:rFonts w:hint="eastAsia" w:ascii="宋体" w:hAnsi="宋体" w:cs="宋体"/>
          <w:b/>
          <w:bCs/>
          <w:sz w:val="44"/>
          <w:szCs w:val="44"/>
        </w:rPr>
        <w:t>芮城县</w:t>
      </w:r>
      <w:r>
        <w:rPr>
          <w:rFonts w:hint="eastAsia" w:ascii="宋体" w:hAnsi="宋体" w:cs="宋体"/>
          <w:b/>
          <w:bCs/>
          <w:sz w:val="44"/>
          <w:szCs w:val="44"/>
          <w:lang w:eastAsia="zh-CN"/>
        </w:rPr>
        <w:t>红十字会</w:t>
      </w:r>
    </w:p>
    <w:p>
      <w:pPr>
        <w:spacing w:line="560" w:lineRule="exact"/>
        <w:jc w:val="center"/>
        <w:rPr>
          <w:rFonts w:hint="eastAsia" w:ascii="宋体" w:hAnsi="宋体" w:cs="宋体"/>
          <w:b/>
          <w:bCs/>
          <w:sz w:val="44"/>
          <w:szCs w:val="44"/>
          <w:lang w:eastAsia="zh-CN"/>
        </w:rPr>
      </w:pPr>
      <w:r>
        <w:rPr>
          <w:rFonts w:hint="eastAsia" w:ascii="宋体" w:hAnsi="宋体" w:cs="宋体"/>
          <w:b/>
          <w:bCs/>
          <w:sz w:val="44"/>
          <w:szCs w:val="44"/>
        </w:rPr>
        <w:t>202</w:t>
      </w:r>
      <w:r>
        <w:rPr>
          <w:rFonts w:hint="eastAsia" w:ascii="宋体" w:hAnsi="宋体" w:cs="宋体"/>
          <w:b/>
          <w:bCs/>
          <w:sz w:val="44"/>
          <w:szCs w:val="44"/>
          <w:lang w:val="en-US" w:eastAsia="zh-CN"/>
        </w:rPr>
        <w:t>3</w:t>
      </w:r>
      <w:r>
        <w:rPr>
          <w:rFonts w:hint="eastAsia" w:ascii="宋体" w:hAnsi="宋体" w:cs="宋体"/>
          <w:b/>
          <w:bCs/>
          <w:sz w:val="44"/>
          <w:szCs w:val="44"/>
        </w:rPr>
        <w:t>年</w:t>
      </w:r>
      <w:r>
        <w:rPr>
          <w:rFonts w:hint="eastAsia" w:ascii="宋体" w:hAnsi="宋体" w:cs="宋体"/>
          <w:b/>
          <w:bCs/>
          <w:sz w:val="44"/>
          <w:szCs w:val="44"/>
          <w:lang w:eastAsia="zh-CN"/>
        </w:rPr>
        <w:t>度</w:t>
      </w:r>
      <w:r>
        <w:rPr>
          <w:rFonts w:hint="eastAsia" w:ascii="宋体" w:hAnsi="宋体" w:cs="宋体"/>
          <w:b/>
          <w:bCs/>
          <w:sz w:val="44"/>
          <w:szCs w:val="44"/>
        </w:rPr>
        <w:t>部门预算</w:t>
      </w:r>
      <w:r>
        <w:rPr>
          <w:rFonts w:hint="eastAsia" w:ascii="宋体" w:hAnsi="宋体" w:cs="宋体"/>
          <w:b/>
          <w:bCs/>
          <w:sz w:val="44"/>
          <w:szCs w:val="44"/>
          <w:lang w:eastAsia="zh-CN"/>
        </w:rPr>
        <w:t>说明</w:t>
      </w:r>
    </w:p>
    <w:p>
      <w:pPr>
        <w:pStyle w:val="2"/>
        <w:rPr>
          <w:rFonts w:hint="eastAsia"/>
        </w:rPr>
      </w:pPr>
    </w:p>
    <w:p>
      <w:pPr>
        <w:ind w:firstLine="640"/>
        <w:rPr>
          <w:rFonts w:ascii="黑体" w:hAnsi="黑体" w:eastAsia="黑体"/>
          <w:szCs w:val="32"/>
        </w:rPr>
      </w:pPr>
    </w:p>
    <w:p>
      <w:pPr>
        <w:pStyle w:val="6"/>
        <w:shd w:val="clear" w:color="auto" w:fill="FFFFFF"/>
        <w:spacing w:before="0" w:beforeAutospacing="0" w:after="0" w:afterAutospacing="0" w:line="560" w:lineRule="exact"/>
        <w:jc w:val="center"/>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第一部分</w:t>
      </w:r>
      <w:r>
        <w:rPr>
          <w:rFonts w:hint="eastAsia" w:ascii="黑体" w:hAnsi="黑体" w:eastAsia="黑体" w:cs="黑体"/>
          <w:color w:val="000000"/>
          <w:sz w:val="32"/>
          <w:szCs w:val="32"/>
          <w:lang w:val="en-US" w:eastAsia="zh-CN"/>
        </w:rPr>
        <w:t xml:space="preserve">  概况</w:t>
      </w:r>
    </w:p>
    <w:p>
      <w:pPr>
        <w:pStyle w:val="6"/>
        <w:shd w:val="clear" w:color="auto" w:fill="FFFFFF"/>
        <w:spacing w:before="0" w:beforeAutospacing="0" w:after="0" w:afterAutospacing="0" w:line="560" w:lineRule="exact"/>
        <w:jc w:val="center"/>
        <w:rPr>
          <w:rFonts w:hint="default" w:ascii="黑体" w:hAnsi="黑体" w:eastAsia="黑体" w:cs="黑体"/>
          <w:color w:val="000000"/>
          <w:sz w:val="30"/>
          <w:szCs w:val="30"/>
          <w:lang w:val="en-US" w:eastAsia="zh-CN"/>
        </w:rPr>
      </w:pPr>
    </w:p>
    <w:p>
      <w:pPr>
        <w:pStyle w:val="6"/>
        <w:shd w:val="clear" w:color="auto" w:fill="FFFFFF"/>
        <w:spacing w:before="0" w:beforeAutospacing="0" w:after="0" w:afterAutospacing="0"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一、单位概况</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红十字会</w:t>
      </w:r>
      <w:r>
        <w:rPr>
          <w:rFonts w:hint="eastAsia" w:ascii="仿宋_GB2312" w:hAnsi="仿宋_GB2312" w:eastAsia="仿宋_GB2312" w:cs="仿宋_GB2312"/>
          <w:color w:val="000000"/>
          <w:sz w:val="32"/>
          <w:szCs w:val="32"/>
        </w:rPr>
        <w:t>内设办公室、</w:t>
      </w:r>
      <w:r>
        <w:rPr>
          <w:rFonts w:hint="eastAsia" w:ascii="仿宋_GB2312" w:hAnsi="仿宋_GB2312" w:eastAsia="仿宋_GB2312" w:cs="仿宋_GB2312"/>
          <w:color w:val="000000"/>
          <w:sz w:val="32"/>
          <w:szCs w:val="32"/>
          <w:lang w:eastAsia="zh-CN"/>
        </w:rPr>
        <w:t>赈济救援</w:t>
      </w:r>
      <w:r>
        <w:rPr>
          <w:rFonts w:hint="eastAsia" w:ascii="仿宋_GB2312" w:hAnsi="仿宋_GB2312" w:eastAsia="仿宋_GB2312" w:cs="仿宋_GB2312"/>
          <w:color w:val="000000"/>
          <w:sz w:val="32"/>
          <w:szCs w:val="32"/>
        </w:rPr>
        <w:t>股</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个股室，属</w:t>
      </w:r>
      <w:r>
        <w:rPr>
          <w:rFonts w:hint="eastAsia" w:ascii="仿宋_GB2312" w:hAnsi="仿宋_GB2312" w:eastAsia="仿宋_GB2312" w:cs="仿宋_GB2312"/>
          <w:color w:val="000000"/>
          <w:sz w:val="32"/>
          <w:szCs w:val="32"/>
          <w:lang w:eastAsia="zh-CN"/>
        </w:rPr>
        <w:t>公益Ⅰ类事业</w:t>
      </w:r>
      <w:r>
        <w:rPr>
          <w:rFonts w:hint="eastAsia" w:ascii="仿宋_GB2312" w:hAnsi="仿宋_GB2312" w:eastAsia="仿宋_GB2312" w:cs="仿宋_GB2312"/>
          <w:color w:val="000000"/>
          <w:sz w:val="32"/>
          <w:szCs w:val="32"/>
        </w:rPr>
        <w:t>单位。共有编制</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人，其中行政编制</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人，事业编制</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人，自收自支</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人。实有人数</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人，事业人员</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人,自收自支</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人。另外，大学生公益岗位</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w:t>
      </w:r>
    </w:p>
    <w:p>
      <w:pPr>
        <w:pStyle w:val="6"/>
        <w:shd w:val="clear" w:color="auto" w:fill="FFFFFF"/>
        <w:spacing w:before="0" w:beforeAutospacing="0" w:after="0" w:afterAutospacing="0" w:line="560" w:lineRule="exact"/>
        <w:ind w:firstLine="640" w:firstLineChars="200"/>
        <w:rPr>
          <w:rFonts w:hint="eastAsia" w:ascii="黑体" w:hAnsi="黑体" w:eastAsia="黑体" w:cs="黑体"/>
          <w:color w:val="000000"/>
          <w:sz w:val="32"/>
          <w:szCs w:val="32"/>
        </w:rPr>
      </w:pPr>
      <w:r>
        <w:rPr>
          <w:rFonts w:hint="eastAsia"/>
          <w:color w:val="000000"/>
          <w:sz w:val="32"/>
          <w:szCs w:val="32"/>
        </w:rPr>
        <w:t>二、</w:t>
      </w:r>
      <w:r>
        <w:rPr>
          <w:rFonts w:hint="eastAsia" w:ascii="黑体" w:hAnsi="黑体" w:eastAsia="黑体" w:cs="黑体"/>
          <w:color w:val="000000"/>
          <w:sz w:val="32"/>
          <w:szCs w:val="32"/>
        </w:rPr>
        <w:t>主要职能</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1、宣传、贯彻、执行《中华人民共和国红十字会法》;</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2、开展备灾和救灾工作;</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3、进行初级卫生救护培训和卫生知识的宣传；组织群众参加意外伤害和自然灾害的现场救护工作;</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4、参与推动无偿献血、遗体和人体器官捐献工作，参与开展造血干细胞捐献相关工作;</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5、开展红十字青少年活动;</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6、协助人民政府开展与其职责相关的其他人道主义服务活动。</w:t>
      </w:r>
    </w:p>
    <w:p>
      <w:pPr>
        <w:pStyle w:val="6"/>
        <w:shd w:val="clear" w:color="auto" w:fill="FFFFFF"/>
        <w:spacing w:before="0" w:beforeAutospacing="0" w:after="0" w:afterAutospacing="0" w:line="560" w:lineRule="exact"/>
        <w:jc w:val="center"/>
        <w:rPr>
          <w:rFonts w:hint="eastAsia" w:ascii="黑体" w:hAnsi="黑体" w:eastAsia="黑体" w:cs="黑体"/>
          <w:color w:val="000000"/>
          <w:sz w:val="32"/>
          <w:szCs w:val="32"/>
          <w:lang w:val="en-US" w:eastAsia="zh-CN"/>
        </w:rPr>
      </w:pPr>
    </w:p>
    <w:p>
      <w:pPr>
        <w:pStyle w:val="6"/>
        <w:shd w:val="clear" w:color="auto" w:fill="FFFFFF"/>
        <w:spacing w:before="0" w:beforeAutospacing="0" w:after="0" w:afterAutospacing="0" w:line="560" w:lineRule="exact"/>
        <w:jc w:val="center"/>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en-US" w:eastAsia="zh-CN"/>
        </w:rPr>
        <w:t>第二部分  2023年部门预算情况说明</w:t>
      </w:r>
    </w:p>
    <w:p>
      <w:pPr>
        <w:pStyle w:val="6"/>
        <w:shd w:val="clear" w:color="auto" w:fill="FFFFFF"/>
        <w:spacing w:before="0" w:beforeAutospacing="0" w:after="0" w:afterAutospacing="0" w:line="560" w:lineRule="exact"/>
        <w:ind w:firstLine="640" w:firstLineChars="200"/>
        <w:rPr>
          <w:rFonts w:hint="eastAsia" w:ascii="黑体" w:hAnsi="黑体" w:eastAsia="黑体" w:cs="黑体"/>
          <w:color w:val="000000"/>
          <w:sz w:val="32"/>
          <w:szCs w:val="32"/>
          <w:lang w:eastAsia="zh-CN"/>
        </w:rPr>
      </w:pPr>
    </w:p>
    <w:p>
      <w:pPr>
        <w:pStyle w:val="6"/>
        <w:shd w:val="clear" w:color="auto" w:fill="FFFFFF"/>
        <w:spacing w:before="0" w:beforeAutospacing="0" w:after="0" w:afterAutospacing="0"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lang w:eastAsia="zh-CN"/>
        </w:rPr>
        <w:t>一</w:t>
      </w:r>
      <w:r>
        <w:rPr>
          <w:rFonts w:hint="eastAsia" w:ascii="黑体" w:hAnsi="黑体" w:eastAsia="黑体" w:cs="黑体"/>
          <w:color w:val="000000"/>
          <w:sz w:val="32"/>
          <w:szCs w:val="32"/>
        </w:rPr>
        <w:t>、预算收支增减变化及情况说明</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ED7D31" w:themeColor="accent2"/>
          <w:sz w:val="32"/>
          <w:szCs w:val="32"/>
          <w14:textFill>
            <w14:solidFill>
              <w14:schemeClr w14:val="accent2"/>
            </w14:solidFill>
          </w14:textFill>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年预算总收入</w:t>
      </w:r>
      <w:r>
        <w:rPr>
          <w:rFonts w:hint="eastAsia" w:ascii="仿宋_GB2312" w:hAnsi="仿宋_GB2312" w:eastAsia="仿宋_GB2312" w:cs="仿宋_GB2312"/>
          <w:color w:val="000000"/>
          <w:sz w:val="32"/>
          <w:szCs w:val="32"/>
          <w:lang w:val="en-US" w:eastAsia="zh-CN"/>
        </w:rPr>
        <w:t>51.95</w:t>
      </w:r>
      <w:r>
        <w:rPr>
          <w:rFonts w:hint="eastAsia" w:ascii="仿宋_GB2312" w:hAnsi="仿宋_GB2312" w:eastAsia="仿宋_GB2312" w:cs="仿宋_GB2312"/>
          <w:color w:val="000000"/>
          <w:sz w:val="32"/>
          <w:szCs w:val="32"/>
        </w:rPr>
        <w:t>万元，比上年</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10.23</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人员工资福利的增加</w:t>
      </w:r>
      <w:r>
        <w:rPr>
          <w:rFonts w:hint="eastAsia" w:ascii="仿宋_GB2312" w:hAnsi="仿宋_GB2312" w:eastAsia="仿宋_GB2312" w:cs="仿宋_GB2312"/>
          <w:color w:val="000000"/>
          <w:sz w:val="32"/>
          <w:szCs w:val="32"/>
        </w:rPr>
        <w:t>。其中工资福利支出</w:t>
      </w:r>
      <w:r>
        <w:rPr>
          <w:rFonts w:hint="eastAsia" w:ascii="仿宋_GB2312" w:hAnsi="仿宋_GB2312" w:eastAsia="仿宋_GB2312" w:cs="仿宋_GB2312"/>
          <w:color w:val="000000"/>
          <w:sz w:val="32"/>
          <w:szCs w:val="32"/>
          <w:lang w:val="en-US" w:eastAsia="zh-CN"/>
        </w:rPr>
        <w:t>40.89</w:t>
      </w:r>
      <w:r>
        <w:rPr>
          <w:rFonts w:hint="eastAsia" w:ascii="仿宋_GB2312" w:hAnsi="仿宋_GB2312" w:eastAsia="仿宋_GB2312" w:cs="仿宋_GB2312"/>
          <w:color w:val="000000"/>
          <w:sz w:val="32"/>
          <w:szCs w:val="32"/>
        </w:rPr>
        <w:t>万元，比上年增加</w:t>
      </w:r>
      <w:r>
        <w:rPr>
          <w:rFonts w:hint="eastAsia" w:ascii="仿宋_GB2312" w:hAnsi="仿宋_GB2312" w:eastAsia="仿宋_GB2312" w:cs="仿宋_GB2312"/>
          <w:color w:val="000000"/>
          <w:sz w:val="32"/>
          <w:szCs w:val="32"/>
          <w:lang w:val="en-US" w:eastAsia="zh-CN"/>
        </w:rPr>
        <w:t>12.27</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人员工资福利的增加</w:t>
      </w:r>
      <w:r>
        <w:rPr>
          <w:rFonts w:hint="eastAsia" w:ascii="仿宋_GB2312" w:hAnsi="仿宋_GB2312" w:eastAsia="仿宋_GB2312" w:cs="仿宋_GB2312"/>
          <w:color w:val="000000"/>
          <w:sz w:val="32"/>
          <w:szCs w:val="32"/>
        </w:rPr>
        <w:t>。对个人和家庭补助</w:t>
      </w:r>
      <w:r>
        <w:rPr>
          <w:rFonts w:hint="eastAsia" w:ascii="仿宋_GB2312" w:hAnsi="仿宋_GB2312" w:eastAsia="仿宋_GB2312" w:cs="仿宋_GB2312"/>
          <w:color w:val="000000"/>
          <w:sz w:val="32"/>
          <w:szCs w:val="32"/>
          <w:lang w:val="en-US" w:eastAsia="zh-CN"/>
        </w:rPr>
        <w:t>0.58</w:t>
      </w:r>
      <w:r>
        <w:rPr>
          <w:rFonts w:hint="eastAsia" w:ascii="仿宋_GB2312" w:hAnsi="仿宋_GB2312" w:eastAsia="仿宋_GB2312" w:cs="仿宋_GB2312"/>
          <w:color w:val="000000"/>
          <w:sz w:val="32"/>
          <w:szCs w:val="32"/>
        </w:rPr>
        <w:t>万元，比上年</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23.4</w:t>
      </w:r>
      <w:r>
        <w:rPr>
          <w:rFonts w:hint="eastAsia" w:ascii="仿宋_GB2312" w:hAnsi="仿宋_GB2312" w:eastAsia="仿宋_GB2312" w:cs="仿宋_GB2312"/>
          <w:color w:val="000000"/>
          <w:sz w:val="32"/>
          <w:szCs w:val="32"/>
        </w:rPr>
        <w:t>%，原因是</w:t>
      </w:r>
      <w:r>
        <w:rPr>
          <w:rFonts w:hint="eastAsia" w:ascii="仿宋_GB2312" w:hAnsi="仿宋_GB2312" w:eastAsia="仿宋_GB2312" w:cs="仿宋_GB2312"/>
          <w:color w:val="000000"/>
          <w:sz w:val="32"/>
          <w:szCs w:val="32"/>
          <w:lang w:eastAsia="zh-CN"/>
        </w:rPr>
        <w:t>退休人员绩效增加</w:t>
      </w:r>
      <w:bookmarkStart w:id="0" w:name="_GoBack"/>
      <w:bookmarkEnd w:id="0"/>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ED7D31" w:themeColor="accent2"/>
          <w:sz w:val="32"/>
          <w:szCs w:val="32"/>
          <w14:textFill>
            <w14:solidFill>
              <w14:schemeClr w14:val="accent2"/>
            </w14:solidFill>
          </w14:textFill>
        </w:rPr>
        <w:t>商品和服务支出</w:t>
      </w:r>
      <w:r>
        <w:rPr>
          <w:rFonts w:hint="eastAsia" w:ascii="仿宋_GB2312" w:hAnsi="仿宋_GB2312" w:eastAsia="仿宋_GB2312" w:cs="仿宋_GB2312"/>
          <w:color w:val="ED7D31" w:themeColor="accent2"/>
          <w:sz w:val="32"/>
          <w:szCs w:val="32"/>
          <w:lang w:val="en-US" w:eastAsia="zh-CN"/>
          <w14:textFill>
            <w14:solidFill>
              <w14:schemeClr w14:val="accent2"/>
            </w14:solidFill>
          </w14:textFill>
        </w:rPr>
        <w:t>10.49</w:t>
      </w:r>
      <w:r>
        <w:rPr>
          <w:rFonts w:hint="eastAsia" w:ascii="仿宋_GB2312" w:hAnsi="仿宋_GB2312" w:eastAsia="仿宋_GB2312" w:cs="仿宋_GB2312"/>
          <w:color w:val="ED7D31" w:themeColor="accent2"/>
          <w:sz w:val="32"/>
          <w:szCs w:val="32"/>
          <w14:textFill>
            <w14:solidFill>
              <w14:schemeClr w14:val="accent2"/>
            </w14:solidFill>
          </w14:textFill>
        </w:rPr>
        <w:t>万元，比上年</w:t>
      </w:r>
      <w:r>
        <w:rPr>
          <w:rFonts w:hint="eastAsia" w:ascii="仿宋_GB2312" w:hAnsi="仿宋_GB2312" w:eastAsia="仿宋_GB2312" w:cs="仿宋_GB2312"/>
          <w:color w:val="ED7D31" w:themeColor="accent2"/>
          <w:sz w:val="32"/>
          <w:szCs w:val="32"/>
          <w:lang w:eastAsia="zh-CN"/>
          <w14:textFill>
            <w14:solidFill>
              <w14:schemeClr w14:val="accent2"/>
            </w14:solidFill>
          </w14:textFill>
        </w:rPr>
        <w:t>增加</w:t>
      </w:r>
      <w:r>
        <w:rPr>
          <w:rFonts w:hint="eastAsia" w:ascii="仿宋_GB2312" w:hAnsi="仿宋_GB2312" w:eastAsia="仿宋_GB2312" w:cs="仿宋_GB2312"/>
          <w:color w:val="ED7D31" w:themeColor="accent2"/>
          <w:sz w:val="32"/>
          <w:szCs w:val="32"/>
          <w:lang w:val="en-US" w:eastAsia="zh-CN"/>
          <w14:textFill>
            <w14:solidFill>
              <w14:schemeClr w14:val="accent2"/>
            </w14:solidFill>
          </w14:textFill>
        </w:rPr>
        <w:t>223.77</w:t>
      </w:r>
      <w:r>
        <w:rPr>
          <w:rFonts w:hint="eastAsia" w:ascii="仿宋_GB2312" w:hAnsi="仿宋_GB2312" w:eastAsia="仿宋_GB2312" w:cs="仿宋_GB2312"/>
          <w:color w:val="ED7D31" w:themeColor="accent2"/>
          <w:sz w:val="32"/>
          <w:szCs w:val="32"/>
          <w14:textFill>
            <w14:solidFill>
              <w14:schemeClr w14:val="accent2"/>
            </w14:solidFill>
          </w14:textFill>
        </w:rPr>
        <w:t>%，原因是</w:t>
      </w:r>
      <w:r>
        <w:rPr>
          <w:rFonts w:hint="eastAsia" w:ascii="仿宋_GB2312" w:hAnsi="仿宋_GB2312" w:eastAsia="仿宋_GB2312" w:cs="仿宋_GB2312"/>
          <w:color w:val="ED7D31" w:themeColor="accent2"/>
          <w:sz w:val="32"/>
          <w:szCs w:val="32"/>
          <w:lang w:eastAsia="zh-CN"/>
          <w14:textFill>
            <w14:solidFill>
              <w14:schemeClr w14:val="accent2"/>
            </w14:solidFill>
          </w14:textFill>
        </w:rPr>
        <w:t>今年项目预算加入商品和服务支出</w:t>
      </w:r>
      <w:r>
        <w:rPr>
          <w:rFonts w:hint="eastAsia" w:ascii="仿宋_GB2312" w:hAnsi="仿宋_GB2312" w:eastAsia="仿宋_GB2312" w:cs="仿宋_GB2312"/>
          <w:color w:val="ED7D31" w:themeColor="accent2"/>
          <w:sz w:val="32"/>
          <w:szCs w:val="32"/>
          <w14:textFill>
            <w14:solidFill>
              <w14:schemeClr w14:val="accent2"/>
            </w14:solidFill>
          </w14:textFill>
        </w:rPr>
        <w:t>。项目支出</w:t>
      </w:r>
      <w:r>
        <w:rPr>
          <w:rFonts w:hint="eastAsia" w:ascii="仿宋_GB2312" w:hAnsi="仿宋_GB2312" w:eastAsia="仿宋_GB2312" w:cs="仿宋_GB2312"/>
          <w:color w:val="ED7D31" w:themeColor="accent2"/>
          <w:sz w:val="32"/>
          <w:szCs w:val="32"/>
          <w:lang w:val="en-US" w:eastAsia="zh-CN"/>
          <w14:textFill>
            <w14:solidFill>
              <w14:schemeClr w14:val="accent2"/>
            </w14:solidFill>
          </w14:textFill>
        </w:rPr>
        <w:t>0</w:t>
      </w:r>
      <w:r>
        <w:rPr>
          <w:rFonts w:hint="eastAsia" w:ascii="仿宋_GB2312" w:hAnsi="仿宋_GB2312" w:eastAsia="仿宋_GB2312" w:cs="仿宋_GB2312"/>
          <w:color w:val="ED7D31" w:themeColor="accent2"/>
          <w:sz w:val="32"/>
          <w:szCs w:val="32"/>
          <w14:textFill>
            <w14:solidFill>
              <w14:schemeClr w14:val="accent2"/>
            </w14:solidFill>
          </w14:textFill>
        </w:rPr>
        <w:t>万元，比上年减少</w:t>
      </w:r>
      <w:r>
        <w:rPr>
          <w:rFonts w:hint="eastAsia" w:ascii="仿宋_GB2312" w:hAnsi="仿宋_GB2312" w:eastAsia="仿宋_GB2312" w:cs="仿宋_GB2312"/>
          <w:color w:val="ED7D31" w:themeColor="accent2"/>
          <w:sz w:val="32"/>
          <w:szCs w:val="32"/>
          <w:lang w:val="en-US" w:eastAsia="zh-CN"/>
          <w14:textFill>
            <w14:solidFill>
              <w14:schemeClr w14:val="accent2"/>
            </w14:solidFill>
          </w14:textFill>
        </w:rPr>
        <w:t>100</w:t>
      </w:r>
      <w:r>
        <w:rPr>
          <w:rFonts w:hint="eastAsia" w:ascii="仿宋_GB2312" w:hAnsi="仿宋_GB2312" w:eastAsia="仿宋_GB2312" w:cs="仿宋_GB2312"/>
          <w:color w:val="ED7D31" w:themeColor="accent2"/>
          <w:sz w:val="32"/>
          <w:szCs w:val="32"/>
          <w14:textFill>
            <w14:solidFill>
              <w14:schemeClr w14:val="accent2"/>
            </w14:solidFill>
          </w14:textFill>
        </w:rPr>
        <w:t>%，原因是</w:t>
      </w:r>
      <w:r>
        <w:rPr>
          <w:rFonts w:hint="eastAsia" w:ascii="仿宋_GB2312" w:hAnsi="仿宋_GB2312" w:eastAsia="仿宋_GB2312" w:cs="仿宋_GB2312"/>
          <w:color w:val="ED7D31" w:themeColor="accent2"/>
          <w:sz w:val="32"/>
          <w:szCs w:val="32"/>
          <w:lang w:eastAsia="zh-CN"/>
          <w14:textFill>
            <w14:solidFill>
              <w14:schemeClr w14:val="accent2"/>
            </w14:solidFill>
          </w14:textFill>
        </w:rPr>
        <w:t>今年项目预算加入商品和服务支出</w:t>
      </w:r>
      <w:r>
        <w:rPr>
          <w:rFonts w:hint="eastAsia" w:ascii="仿宋_GB2312" w:hAnsi="仿宋_GB2312" w:eastAsia="仿宋_GB2312" w:cs="仿宋_GB2312"/>
          <w:color w:val="ED7D31" w:themeColor="accent2"/>
          <w:sz w:val="32"/>
          <w:szCs w:val="32"/>
          <w14:textFill>
            <w14:solidFill>
              <w14:schemeClr w14:val="accent2"/>
            </w14:solidFill>
          </w14:textFill>
        </w:rPr>
        <w:t>。</w:t>
      </w:r>
    </w:p>
    <w:p>
      <w:pPr>
        <w:pStyle w:val="6"/>
        <w:shd w:val="clear" w:color="auto" w:fill="FFFFFF"/>
        <w:spacing w:before="0" w:beforeAutospacing="0" w:after="0" w:afterAutospacing="0"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rPr>
        <w:t>、机关运行经费安排情况</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机关运行经费（日常商品和服务）支出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万元，比上年减少</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本单位</w:t>
      </w:r>
      <w:r>
        <w:rPr>
          <w:rFonts w:hint="eastAsia" w:ascii="仿宋_GB2312" w:hAnsi="仿宋_GB2312" w:eastAsia="仿宋_GB2312" w:cs="仿宋_GB2312"/>
          <w:color w:val="000000"/>
          <w:sz w:val="32"/>
          <w:szCs w:val="32"/>
          <w:lang w:val="en-US" w:eastAsia="zh-CN"/>
        </w:rPr>
        <w:t>2022年调整为事业单位，没有机关运行经费</w:t>
      </w:r>
      <w:r>
        <w:rPr>
          <w:rFonts w:hint="eastAsia" w:ascii="仿宋_GB2312" w:hAnsi="仿宋_GB2312" w:eastAsia="仿宋_GB2312" w:cs="仿宋_GB2312"/>
          <w:color w:val="000000"/>
          <w:sz w:val="32"/>
          <w:szCs w:val="32"/>
        </w:rPr>
        <w:t>。其中办公费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万元，手续费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万元，水费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万元，电费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万元，邮电费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万元，取暖费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万元，培训费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万元，公务接待费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万元，劳务费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万元，印刷费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万元，差旅费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万元，维修费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万元，办公设备购置费</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pStyle w:val="6"/>
        <w:shd w:val="clear" w:color="auto" w:fill="FFFFFF"/>
        <w:spacing w:before="0" w:beforeAutospacing="0" w:after="0" w:afterAutospacing="0" w:line="560"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pStyle w:val="6"/>
        <w:shd w:val="clear" w:color="auto" w:fill="FFFFFF"/>
        <w:spacing w:before="0" w:beforeAutospacing="0" w:after="0" w:afterAutospacing="0" w:line="560" w:lineRule="exact"/>
        <w:ind w:firstLine="640" w:firstLineChars="20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三、三公经费增减变化及原因</w:t>
      </w:r>
    </w:p>
    <w:p>
      <w:pPr>
        <w:pStyle w:val="6"/>
        <w:shd w:val="clear" w:color="auto" w:fill="FFFFFF"/>
        <w:spacing w:before="0" w:beforeAutospacing="0" w:after="0" w:afterAutospacing="0" w:line="560"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三公经费，202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年预算共</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元，其中公务接待费为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元，预计接待</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批次，约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人，由于今年与上年接待批次基本一致，所以公务接待与202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年保持一致。由于公车改革，我单位没有保留公车，公务用车运行维护费年初预算为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元，公务用车购置为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元。因公出国境费用预算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w:t>
      </w:r>
      <w:r>
        <w:rPr>
          <w:rFonts w:hint="eastAsia" w:ascii="仿宋_GB2312" w:eastAsia="仿宋_GB2312"/>
          <w:color w:val="000000"/>
          <w:sz w:val="32"/>
          <w:szCs w:val="32"/>
        </w:rPr>
        <w:tab/>
      </w:r>
    </w:p>
    <w:p>
      <w:pPr>
        <w:pStyle w:val="6"/>
        <w:shd w:val="clear" w:color="auto" w:fill="FFFFFF"/>
        <w:spacing w:before="0" w:beforeAutospacing="0" w:after="0" w:afterAutospacing="0" w:line="560" w:lineRule="exact"/>
        <w:ind w:firstLine="640" w:firstLineChars="20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四、政府采购预算情况说明</w:t>
      </w:r>
    </w:p>
    <w:p>
      <w:pPr>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2023年政府采购预算22600元，2022年政府采购预算10500元，增加12100元。其中货物类2600元，服务类20000元，工程类0元。</w:t>
      </w:r>
    </w:p>
    <w:p>
      <w:pPr>
        <w:pStyle w:val="6"/>
        <w:shd w:val="clear" w:color="auto" w:fill="FFFFFF"/>
        <w:spacing w:before="0" w:beforeAutospacing="0" w:after="0" w:afterAutospacing="0" w:line="560" w:lineRule="exact"/>
        <w:ind w:firstLine="640" w:firstLineChars="20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五、行政事业单位国有资产使用占用情况说明</w:t>
      </w:r>
    </w:p>
    <w:p>
      <w:pPr>
        <w:pStyle w:val="5"/>
        <w:widowControl/>
        <w:ind w:right="-255" w:firstLine="640" w:firstLineChars="200"/>
        <w:rPr>
          <w:rFonts w:hint="default" w:ascii="仿宋_GB2312" w:eastAsia="仿宋_GB2312" w:cs="宋体" w:hAnsiTheme="majorEastAsia"/>
          <w:color w:val="000000"/>
          <w:sz w:val="32"/>
          <w:szCs w:val="32"/>
        </w:rPr>
      </w:pPr>
      <w:r>
        <w:rPr>
          <w:rFonts w:hint="eastAsia" w:ascii="仿宋_GB2312" w:hAnsi="仿宋_GB2312" w:eastAsia="仿宋_GB2312" w:cs="仿宋_GB2312"/>
          <w:color w:val="000000"/>
          <w:kern w:val="0"/>
          <w:sz w:val="32"/>
          <w:szCs w:val="32"/>
          <w:lang w:val="en-US" w:eastAsia="zh-CN" w:bidi="ar-SA"/>
        </w:rPr>
        <w:t>2022年底我单位国有资产70187元，预计2023年新增2000元，合计72187元</w:t>
      </w:r>
      <w:r>
        <w:rPr>
          <w:rFonts w:ascii="仿宋_GB2312" w:eastAsia="仿宋_GB2312" w:cs="宋体" w:hAnsiTheme="majorEastAsia"/>
          <w:color w:val="000000"/>
          <w:sz w:val="32"/>
          <w:szCs w:val="32"/>
        </w:rPr>
        <w:t>。</w:t>
      </w:r>
    </w:p>
    <w:p>
      <w:pPr>
        <w:pStyle w:val="6"/>
        <w:shd w:val="clear" w:color="auto" w:fill="FFFFFF"/>
        <w:spacing w:before="0" w:beforeAutospacing="0" w:after="0" w:afterAutospacing="0" w:line="560" w:lineRule="exact"/>
        <w:ind w:firstLine="640" w:firstLineChars="200"/>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六、项目绩效目标情况说明</w:t>
      </w:r>
    </w:p>
    <w:p>
      <w:pPr>
        <w:pStyle w:val="6"/>
        <w:shd w:val="clear" w:color="auto" w:fill="FFFFFF"/>
        <w:spacing w:before="0" w:beforeAutospacing="0" w:after="0" w:afterAutospacing="0" w:line="560"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2023年我单位设立绩效目标的项目是：</w:t>
      </w:r>
      <w:r>
        <w:rPr>
          <w:rStyle w:val="12"/>
          <w:rFonts w:hint="eastAsia" w:ascii="仿宋_GB2312" w:hAnsi="Times New Roman" w:eastAsia="仿宋_GB2312" w:cs="Times New Roman"/>
          <w:color w:val="000000"/>
          <w:kern w:val="2"/>
          <w:sz w:val="32"/>
          <w:szCs w:val="32"/>
          <w:lang w:val="en-US" w:eastAsia="zh-CN" w:bidi="ar-SA"/>
        </w:rPr>
        <w:t>生命安全健康体验教室</w:t>
      </w:r>
      <w:r>
        <w:rPr>
          <w:rFonts w:hint="eastAsia" w:ascii="仿宋_GB2312" w:hAnsi="仿宋_GB2312" w:eastAsia="仿宋_GB2312" w:cs="仿宋_GB2312"/>
          <w:color w:val="000000"/>
          <w:kern w:val="0"/>
          <w:sz w:val="32"/>
          <w:szCs w:val="32"/>
          <w:lang w:val="en-US" w:eastAsia="zh-CN" w:bidi="ar-SA"/>
        </w:rPr>
        <w:t>。预算金额2万元。绩效目标：</w:t>
      </w:r>
      <w:r>
        <w:rPr>
          <w:rStyle w:val="12"/>
          <w:rFonts w:hint="eastAsia" w:ascii="仿宋_GB2312" w:hAnsi="Times New Roman" w:eastAsia="仿宋_GB2312" w:cs="Times New Roman"/>
          <w:color w:val="000000"/>
          <w:kern w:val="2"/>
          <w:sz w:val="32"/>
          <w:szCs w:val="32"/>
          <w:lang w:val="en-US" w:eastAsia="zh-CN" w:bidi="ar-SA"/>
        </w:rPr>
        <w:t>提高群众处置突发事件的自救互救能力。</w:t>
      </w:r>
    </w:p>
    <w:p>
      <w:pPr>
        <w:pStyle w:val="6"/>
        <w:shd w:val="clear" w:color="auto" w:fill="FFFFFF"/>
        <w:spacing w:before="0" w:beforeAutospacing="0" w:after="0" w:afterAutospacing="0" w:line="560" w:lineRule="exact"/>
        <w:rPr>
          <w:rFonts w:hint="eastAsia" w:ascii="仿宋_GB2312" w:hAnsi="仿宋_GB2312" w:eastAsia="仿宋_GB2312" w:cs="仿宋_GB2312"/>
          <w:color w:val="000000"/>
          <w:kern w:val="0"/>
          <w:sz w:val="32"/>
          <w:szCs w:val="32"/>
          <w:lang w:val="en-US" w:eastAsia="zh-CN" w:bidi="ar-SA"/>
        </w:rPr>
      </w:pPr>
    </w:p>
    <w:p>
      <w:pPr>
        <w:spacing w:line="580" w:lineRule="exact"/>
        <w:jc w:val="center"/>
        <w:rPr>
          <w:rStyle w:val="12"/>
          <w:rFonts w:ascii="黑体" w:hAnsi="黑体" w:eastAsia="黑体" w:cs="黑体"/>
          <w:b/>
          <w:bCs/>
          <w:sz w:val="32"/>
          <w:szCs w:val="32"/>
        </w:rPr>
      </w:pPr>
      <w:r>
        <w:rPr>
          <w:rStyle w:val="12"/>
          <w:rFonts w:hint="eastAsia" w:ascii="黑体" w:hAnsi="黑体" w:eastAsia="黑体" w:cs="黑体"/>
          <w:b/>
          <w:bCs/>
          <w:sz w:val="32"/>
          <w:szCs w:val="32"/>
          <w:lang w:eastAsia="zh-CN"/>
        </w:rPr>
        <w:t>第三部分</w:t>
      </w:r>
      <w:r>
        <w:rPr>
          <w:rStyle w:val="12"/>
          <w:rFonts w:hint="eastAsia" w:ascii="黑体" w:hAnsi="黑体" w:eastAsia="黑体" w:cs="黑体"/>
          <w:b/>
          <w:bCs/>
          <w:sz w:val="32"/>
          <w:szCs w:val="32"/>
          <w:lang w:val="en-US" w:eastAsia="zh-CN"/>
        </w:rPr>
        <w:t xml:space="preserve">  </w:t>
      </w:r>
      <w:r>
        <w:rPr>
          <w:rStyle w:val="12"/>
          <w:rFonts w:ascii="黑体" w:hAnsi="黑体" w:eastAsia="黑体" w:cs="黑体"/>
          <w:b/>
          <w:bCs/>
          <w:sz w:val="32"/>
          <w:szCs w:val="32"/>
        </w:rPr>
        <w:t>名词解释</w:t>
      </w:r>
    </w:p>
    <w:p>
      <w:pPr>
        <w:spacing w:line="580" w:lineRule="exact"/>
        <w:jc w:val="center"/>
        <w:rPr>
          <w:rStyle w:val="12"/>
          <w:rFonts w:ascii="黑体" w:hAnsi="黑体" w:eastAsia="黑体" w:cs="黑体"/>
          <w:b/>
          <w:bCs/>
          <w:sz w:val="32"/>
          <w:szCs w:val="32"/>
        </w:r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snapToGrid w:val="0"/>
        <w:spacing w:line="520" w:lineRule="exact"/>
        <w:ind w:firstLine="643" w:firstLineChars="200"/>
        <w:textAlignment w:val="auto"/>
        <w:rPr>
          <w:rFonts w:hint="eastAsia" w:ascii="仿宋_GB2312" w:eastAsia="仿宋_GB2312"/>
          <w:color w:val="000000"/>
          <w:sz w:val="32"/>
          <w:szCs w:val="32"/>
        </w:rPr>
      </w:pPr>
      <w:r>
        <w:rPr>
          <w:rFonts w:hint="eastAsia" w:ascii="仿宋_GB2312" w:eastAsia="仿宋_GB2312"/>
          <w:b/>
          <w:bCs/>
          <w:color w:val="000000"/>
          <w:sz w:val="32"/>
          <w:szCs w:val="32"/>
          <w:lang w:val="en-US" w:eastAsia="zh-CN"/>
        </w:rPr>
        <w:t>一</w:t>
      </w:r>
      <w:r>
        <w:rPr>
          <w:rFonts w:hint="eastAsia" w:ascii="仿宋_GB2312" w:eastAsia="仿宋_GB2312"/>
          <w:b/>
          <w:bCs/>
          <w:color w:val="000000"/>
          <w:sz w:val="32"/>
          <w:szCs w:val="32"/>
        </w:rPr>
        <w:t>、</w:t>
      </w:r>
      <w:r>
        <w:rPr>
          <w:rFonts w:hint="default" w:ascii="Times New Roman" w:hAnsi="Times New Roman" w:eastAsia="仿宋_GB2312" w:cs="Times New Roman"/>
          <w:b/>
          <w:bCs/>
          <w:color w:val="auto"/>
          <w:kern w:val="2"/>
          <w:sz w:val="32"/>
          <w:szCs w:val="32"/>
          <w:highlight w:val="none"/>
          <w:lang w:val="en-US" w:eastAsia="zh-CN" w:bidi="ar-SA"/>
        </w:rPr>
        <w:t>预算管理一体化：</w:t>
      </w:r>
      <w:r>
        <w:rPr>
          <w:rFonts w:hint="default" w:ascii="Times New Roman" w:hAnsi="Times New Roman" w:eastAsia="仿宋_GB2312" w:cs="Times New Roman"/>
          <w:color w:val="auto"/>
          <w:kern w:val="2"/>
          <w:sz w:val="32"/>
          <w:szCs w:val="32"/>
          <w:highlight w:val="none"/>
          <w:lang w:val="en-US" w:eastAsia="zh-CN" w:bidi="ar-SA"/>
        </w:rPr>
        <w:t>是以统一预算管理规则为核心，以预算管理一体化系统为主要载体，将统一的管理规则嵌入信息系统，提高项目储备、预算编审、预算调整和调剂、资金支付、会计核算、决算和报告等工作的标准化、自动化水平，实现对预算管理全流程的动态反映和有效控制，保证各级预算管理规范高效。</w:t>
      </w:r>
    </w:p>
    <w:p>
      <w:pPr>
        <w:keepNext w:val="0"/>
        <w:keepLines w:val="0"/>
        <w:pageBreakBefore w:val="0"/>
        <w:widowControl w:val="0"/>
        <w:pBdr>
          <w:bottom w:val="single" w:color="FFFFFF" w:sz="4" w:space="31"/>
        </w:pBdr>
        <w:tabs>
          <w:tab w:val="left" w:pos="1440"/>
        </w:tabs>
        <w:kinsoku/>
        <w:wordWrap/>
        <w:overflowPunct/>
        <w:topLinePunct w:val="0"/>
        <w:autoSpaceDE/>
        <w:autoSpaceDN/>
        <w:bidi w:val="0"/>
        <w:snapToGrid w:val="0"/>
        <w:spacing w:line="520" w:lineRule="exact"/>
        <w:ind w:firstLine="643" w:firstLineChars="200"/>
        <w:textAlignment w:val="auto"/>
        <w:rPr>
          <w:rStyle w:val="12"/>
          <w:rFonts w:ascii="仿宋_GB2312" w:eastAsia="仿宋_GB2312"/>
          <w:color w:val="000000"/>
          <w:sz w:val="32"/>
          <w:szCs w:val="32"/>
        </w:rPr>
      </w:pPr>
      <w:r>
        <w:rPr>
          <w:rFonts w:hint="eastAsia" w:ascii="仿宋_GB2312" w:hAnsi="Times New Roman" w:eastAsia="仿宋_GB2312" w:cs="Times New Roman"/>
          <w:b/>
          <w:bCs/>
          <w:color w:val="000000"/>
          <w:sz w:val="32"/>
          <w:szCs w:val="32"/>
          <w:lang w:val="en-US" w:eastAsia="zh-CN"/>
        </w:rPr>
        <w:t>二、国库集中收付制度：</w:t>
      </w:r>
      <w:r>
        <w:rPr>
          <w:rStyle w:val="12"/>
          <w:rFonts w:hint="eastAsia" w:ascii="仿宋_GB2312" w:eastAsia="仿宋_GB2312"/>
          <w:color w:val="000000"/>
          <w:sz w:val="32"/>
          <w:szCs w:val="32"/>
        </w:rPr>
        <w:t>是一种对财政资金实行集中收缴和支付的管理制度。其核心是通过建立国库单一账户体系，将所有财政性资金的收入和支出全部纳入国库单一账户体系管理和核算。财政收入通过国库单一账户体系直接缴入国库；财政支出按预算通过国库单一账户体系，由财政集中支付或授权预算单位支付到商品或劳务供应商。</w:t>
      </w:r>
    </w:p>
    <w:p>
      <w:pPr>
        <w:keepNext w:val="0"/>
        <w:keepLines w:val="0"/>
        <w:pageBreakBefore w:val="0"/>
        <w:widowControl w:val="0"/>
        <w:pBdr>
          <w:bottom w:val="single" w:color="FFFFFF" w:sz="4" w:space="31"/>
        </w:pBdr>
        <w:tabs>
          <w:tab w:val="left" w:pos="1440"/>
        </w:tabs>
        <w:kinsoku/>
        <w:wordWrap/>
        <w:overflowPunct/>
        <w:topLinePunct w:val="0"/>
        <w:autoSpaceDE/>
        <w:autoSpaceDN/>
        <w:bidi w:val="0"/>
        <w:snapToGrid w:val="0"/>
        <w:spacing w:line="520" w:lineRule="exact"/>
        <w:ind w:firstLine="643" w:firstLineChars="200"/>
        <w:textAlignment w:val="auto"/>
        <w:rPr>
          <w:rFonts w:ascii="仿宋_GB2312" w:eastAsia="仿宋_GB2312"/>
          <w:color w:val="000000"/>
          <w:sz w:val="32"/>
          <w:szCs w:val="32"/>
        </w:rPr>
      </w:pPr>
      <w:r>
        <w:rPr>
          <w:rFonts w:hint="eastAsia" w:ascii="仿宋_GB2312" w:hAnsi="Times New Roman" w:eastAsia="仿宋_GB2312" w:cs="Times New Roman"/>
          <w:b/>
          <w:bCs/>
          <w:color w:val="000000"/>
          <w:sz w:val="32"/>
          <w:szCs w:val="32"/>
          <w:lang w:val="en-US" w:eastAsia="zh-CN"/>
        </w:rPr>
        <w:t>三、基本支出：</w:t>
      </w:r>
      <w:r>
        <w:rPr>
          <w:rFonts w:hint="eastAsia" w:ascii="仿宋_GB2312" w:eastAsia="仿宋_GB2312"/>
          <w:color w:val="000000"/>
          <w:sz w:val="32"/>
          <w:szCs w:val="32"/>
        </w:rPr>
        <w:t>是预算单位为保障其正常运转，完成日常工作任务所发生的支出，包括人员支出和日常公用支出。</w:t>
      </w:r>
    </w:p>
    <w:p>
      <w:pPr>
        <w:keepNext w:val="0"/>
        <w:keepLines w:val="0"/>
        <w:pageBreakBefore w:val="0"/>
        <w:widowControl w:val="0"/>
        <w:pBdr>
          <w:bottom w:val="single" w:color="FFFFFF" w:sz="4" w:space="31"/>
        </w:pBdr>
        <w:tabs>
          <w:tab w:val="left" w:pos="1440"/>
        </w:tabs>
        <w:kinsoku/>
        <w:wordWrap/>
        <w:overflowPunct/>
        <w:topLinePunct w:val="0"/>
        <w:autoSpaceDE/>
        <w:autoSpaceDN/>
        <w:bidi w:val="0"/>
        <w:snapToGrid w:val="0"/>
        <w:spacing w:line="520" w:lineRule="exact"/>
        <w:ind w:firstLine="643" w:firstLineChars="200"/>
        <w:textAlignment w:val="auto"/>
        <w:rPr>
          <w:rFonts w:ascii="仿宋_GB2312" w:eastAsia="仿宋_GB2312"/>
          <w:color w:val="000000"/>
          <w:sz w:val="32"/>
          <w:szCs w:val="32"/>
        </w:rPr>
      </w:pPr>
      <w:r>
        <w:rPr>
          <w:rFonts w:hint="eastAsia" w:ascii="仿宋_GB2312" w:hAnsi="Times New Roman" w:eastAsia="仿宋_GB2312" w:cs="Times New Roman"/>
          <w:b/>
          <w:bCs/>
          <w:color w:val="000000"/>
          <w:sz w:val="32"/>
          <w:szCs w:val="32"/>
          <w:lang w:val="en-US" w:eastAsia="zh-CN"/>
        </w:rPr>
        <w:t>四、项目支出：</w:t>
      </w:r>
      <w:r>
        <w:rPr>
          <w:rFonts w:hint="eastAsia" w:ascii="仿宋_GB2312" w:eastAsia="仿宋_GB2312"/>
          <w:color w:val="000000"/>
          <w:sz w:val="32"/>
          <w:szCs w:val="32"/>
        </w:rPr>
        <w:t>是预算单位为完成其特定的行政工作任务或事业发展目标所发生的支出。</w:t>
      </w:r>
    </w:p>
    <w:p>
      <w:pPr>
        <w:keepNext w:val="0"/>
        <w:keepLines w:val="0"/>
        <w:pageBreakBefore w:val="0"/>
        <w:widowControl w:val="0"/>
        <w:pBdr>
          <w:bottom w:val="single" w:color="FFFFFF" w:sz="4" w:space="31"/>
        </w:pBdr>
        <w:tabs>
          <w:tab w:val="left" w:pos="1440"/>
        </w:tabs>
        <w:kinsoku/>
        <w:wordWrap/>
        <w:overflowPunct/>
        <w:topLinePunct w:val="0"/>
        <w:autoSpaceDE/>
        <w:autoSpaceDN/>
        <w:bidi w:val="0"/>
        <w:snapToGrid w:val="0"/>
        <w:spacing w:line="520" w:lineRule="exact"/>
        <w:ind w:firstLine="643" w:firstLineChars="200"/>
        <w:textAlignment w:val="auto"/>
        <w:rPr>
          <w:rFonts w:hint="eastAsia" w:ascii="仿宋_GB2312" w:eastAsia="仿宋_GB2312"/>
          <w:color w:val="000000"/>
          <w:sz w:val="32"/>
          <w:szCs w:val="32"/>
        </w:rPr>
      </w:pPr>
      <w:r>
        <w:rPr>
          <w:rFonts w:hint="eastAsia" w:ascii="仿宋_GB2312" w:hAnsi="Times New Roman" w:eastAsia="仿宋_GB2312" w:cs="Times New Roman"/>
          <w:b/>
          <w:bCs/>
          <w:color w:val="000000"/>
          <w:sz w:val="32"/>
          <w:szCs w:val="32"/>
          <w:lang w:val="en-US" w:eastAsia="zh-CN"/>
        </w:rPr>
        <w:t>五、三公经费：</w:t>
      </w:r>
      <w:r>
        <w:rPr>
          <w:rFonts w:hint="eastAsia" w:ascii="仿宋_GB2312" w:eastAsia="仿宋_GB2312"/>
          <w:color w:val="000000"/>
          <w:sz w:val="32"/>
          <w:szCs w:val="32"/>
        </w:rPr>
        <w:t>公务接待费，公务用车购置运行维护费和因公出国（境）费。</w:t>
      </w:r>
    </w:p>
    <w:p>
      <w:pPr>
        <w:keepNext w:val="0"/>
        <w:keepLines w:val="0"/>
        <w:pageBreakBefore w:val="0"/>
        <w:widowControl w:val="0"/>
        <w:numPr>
          <w:ilvl w:val="0"/>
          <w:numId w:val="0"/>
        </w:numPr>
        <w:pBdr>
          <w:bottom w:val="single" w:color="FFFFFF" w:sz="4" w:space="31"/>
        </w:pBdr>
        <w:shd w:val="clear" w:color="auto" w:fill="auto"/>
        <w:tabs>
          <w:tab w:val="left" w:pos="1440"/>
        </w:tabs>
        <w:kinsoku/>
        <w:wordWrap/>
        <w:overflowPunct/>
        <w:topLinePunct w:val="0"/>
        <w:autoSpaceDE/>
        <w:autoSpaceDN/>
        <w:bidi w:val="0"/>
        <w:adjustRightInd w:val="0"/>
        <w:snapToGrid w:val="0"/>
        <w:spacing w:line="520" w:lineRule="exact"/>
        <w:ind w:firstLine="643"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六、</w:t>
      </w:r>
      <w:r>
        <w:rPr>
          <w:rFonts w:hint="default" w:ascii="Times New Roman" w:hAnsi="Times New Roman" w:eastAsia="仿宋_GB2312" w:cs="Times New Roman"/>
          <w:b/>
          <w:bCs/>
          <w:color w:val="auto"/>
          <w:kern w:val="2"/>
          <w:sz w:val="32"/>
          <w:szCs w:val="32"/>
          <w:highlight w:val="none"/>
          <w:lang w:val="en-US" w:eastAsia="zh-CN" w:bidi="ar-SA"/>
        </w:rPr>
        <w:t>直达资金：</w:t>
      </w:r>
      <w:r>
        <w:rPr>
          <w:rFonts w:hint="default" w:ascii="Times New Roman" w:hAnsi="Times New Roman" w:eastAsia="仿宋_GB2312" w:cs="Times New Roman"/>
          <w:color w:val="auto"/>
          <w:kern w:val="2"/>
          <w:sz w:val="32"/>
          <w:szCs w:val="32"/>
          <w:highlight w:val="none"/>
          <w:lang w:val="en-US" w:eastAsia="zh-CN" w:bidi="ar-SA"/>
        </w:rPr>
        <w:t>是指中央政府直接拨付到地方的资金，是在建立特殊转移支付机制，通过中央对地方转移支付，避免了资金的层层审批，能够充分发挥资金效益，利企利民。</w:t>
      </w:r>
    </w:p>
    <w:p>
      <w:pPr>
        <w:pBdr>
          <w:bottom w:val="single" w:color="FFFFFF" w:sz="4" w:space="31"/>
        </w:pBdr>
        <w:tabs>
          <w:tab w:val="left" w:pos="1440"/>
        </w:tabs>
        <w:snapToGrid w:val="0"/>
        <w:spacing w:line="580" w:lineRule="exact"/>
        <w:ind w:firstLine="6080" w:firstLineChars="1900"/>
        <w:rPr>
          <w:rFonts w:hint="eastAsia" w:ascii="仿宋_GB2312" w:eastAsia="仿宋_GB2312"/>
          <w:color w:val="000000"/>
          <w:sz w:val="32"/>
          <w:szCs w:val="32"/>
          <w:lang w:val="en-US" w:eastAsia="zh-CN"/>
        </w:rPr>
      </w:pPr>
    </w:p>
    <w:p>
      <w:pPr>
        <w:keepNext w:val="0"/>
        <w:keepLines w:val="0"/>
        <w:pageBreakBefore w:val="0"/>
        <w:widowControl w:val="0"/>
        <w:numPr>
          <w:ilvl w:val="0"/>
          <w:numId w:val="0"/>
        </w:numPr>
        <w:pBdr>
          <w:bottom w:val="single" w:color="FFFFFF" w:sz="4" w:space="31"/>
        </w:pBdr>
        <w:shd w:val="clear" w:color="auto" w:fill="auto"/>
        <w:tabs>
          <w:tab w:val="left" w:pos="1440"/>
        </w:tabs>
        <w:kinsoku/>
        <w:wordWrap/>
        <w:overflowPunct/>
        <w:topLinePunct w:val="0"/>
        <w:autoSpaceDE/>
        <w:autoSpaceDN/>
        <w:bidi w:val="0"/>
        <w:adjustRightInd w:val="0"/>
        <w:snapToGrid w:val="0"/>
        <w:spacing w:line="520" w:lineRule="exact"/>
        <w:ind w:firstLine="5440" w:firstLineChars="1700"/>
        <w:textAlignment w:val="auto"/>
        <w:outlineLvl w:val="9"/>
        <w:rPr>
          <w:rFonts w:hint="eastAsia"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芮城县红十字会</w:t>
      </w:r>
    </w:p>
    <w:p>
      <w:pPr>
        <w:keepNext w:val="0"/>
        <w:keepLines w:val="0"/>
        <w:pageBreakBefore w:val="0"/>
        <w:widowControl w:val="0"/>
        <w:numPr>
          <w:ilvl w:val="0"/>
          <w:numId w:val="0"/>
        </w:numPr>
        <w:pBdr>
          <w:bottom w:val="single" w:color="FFFFFF" w:sz="4" w:space="31"/>
        </w:pBdr>
        <w:shd w:val="clear" w:color="auto" w:fill="auto"/>
        <w:tabs>
          <w:tab w:val="left" w:pos="1440"/>
        </w:tabs>
        <w:kinsoku/>
        <w:wordWrap/>
        <w:overflowPunct/>
        <w:topLinePunct w:val="0"/>
        <w:autoSpaceDE/>
        <w:autoSpaceDN/>
        <w:bidi w:val="0"/>
        <w:adjustRightInd w:val="0"/>
        <w:snapToGrid w:val="0"/>
        <w:spacing w:line="520" w:lineRule="exact"/>
        <w:ind w:firstLine="5440" w:firstLineChars="17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2023</w:t>
      </w:r>
      <w:r>
        <w:rPr>
          <w:rFonts w:hint="eastAsia" w:ascii="Times New Roman" w:hAnsi="Times New Roman" w:eastAsia="仿宋_GB2312" w:cs="Times New Roman"/>
          <w:color w:val="auto"/>
          <w:kern w:val="2"/>
          <w:sz w:val="32"/>
          <w:szCs w:val="32"/>
          <w:highlight w:val="none"/>
          <w:lang w:val="en-US" w:eastAsia="zh-CN" w:bidi="ar-SA"/>
        </w:rPr>
        <w:t>年</w:t>
      </w:r>
      <w:r>
        <w:rPr>
          <w:rFonts w:hint="eastAsia" w:eastAsia="仿宋_GB2312" w:cs="Times New Roman"/>
          <w:color w:val="auto"/>
          <w:kern w:val="2"/>
          <w:sz w:val="32"/>
          <w:szCs w:val="32"/>
          <w:highlight w:val="none"/>
          <w:lang w:val="en-US" w:eastAsia="zh-CN" w:bidi="ar-SA"/>
        </w:rPr>
        <w:t>3</w:t>
      </w:r>
      <w:r>
        <w:rPr>
          <w:rFonts w:hint="eastAsia" w:ascii="Times New Roman" w:hAnsi="Times New Roman" w:eastAsia="仿宋_GB2312" w:cs="Times New Roman"/>
          <w:color w:val="auto"/>
          <w:kern w:val="2"/>
          <w:sz w:val="32"/>
          <w:szCs w:val="32"/>
          <w:highlight w:val="none"/>
          <w:lang w:val="en-US" w:eastAsia="zh-CN" w:bidi="ar-SA"/>
        </w:rPr>
        <w:t>月</w:t>
      </w:r>
      <w:r>
        <w:rPr>
          <w:rFonts w:hint="eastAsia"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lNTgzZDljZjIwZDMwYmY4MDQ1NGUxOWNjYTg5ZGIifQ=="/>
  </w:docVars>
  <w:rsids>
    <w:rsidRoot w:val="20EA69AE"/>
    <w:rsid w:val="001106FC"/>
    <w:rsid w:val="001D7C4F"/>
    <w:rsid w:val="00203B34"/>
    <w:rsid w:val="0030738C"/>
    <w:rsid w:val="003C02DF"/>
    <w:rsid w:val="00400009"/>
    <w:rsid w:val="00462849"/>
    <w:rsid w:val="00A769BE"/>
    <w:rsid w:val="00AA67D1"/>
    <w:rsid w:val="00C20004"/>
    <w:rsid w:val="00CB0946"/>
    <w:rsid w:val="00D10C0F"/>
    <w:rsid w:val="00D13DA8"/>
    <w:rsid w:val="00DD6409"/>
    <w:rsid w:val="00DF69E9"/>
    <w:rsid w:val="00EB792F"/>
    <w:rsid w:val="00F036D9"/>
    <w:rsid w:val="00F21445"/>
    <w:rsid w:val="049F53CD"/>
    <w:rsid w:val="04B421F2"/>
    <w:rsid w:val="05905D20"/>
    <w:rsid w:val="157664BE"/>
    <w:rsid w:val="1A6374B3"/>
    <w:rsid w:val="20EA69AE"/>
    <w:rsid w:val="22D07492"/>
    <w:rsid w:val="282A7965"/>
    <w:rsid w:val="2C4B162F"/>
    <w:rsid w:val="30587744"/>
    <w:rsid w:val="32AF3608"/>
    <w:rsid w:val="366F1BBD"/>
    <w:rsid w:val="398F67F4"/>
    <w:rsid w:val="39DD30A4"/>
    <w:rsid w:val="43D15849"/>
    <w:rsid w:val="47A3011A"/>
    <w:rsid w:val="481100A8"/>
    <w:rsid w:val="4A0F4A0A"/>
    <w:rsid w:val="5864423A"/>
    <w:rsid w:val="5B5A37F1"/>
    <w:rsid w:val="5EE119AF"/>
    <w:rsid w:val="616F2430"/>
    <w:rsid w:val="67294752"/>
    <w:rsid w:val="6BE3474F"/>
    <w:rsid w:val="6F6710EF"/>
    <w:rsid w:val="74B91A57"/>
    <w:rsid w:val="7D460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Char"/>
    <w:basedOn w:val="8"/>
    <w:link w:val="4"/>
    <w:qFormat/>
    <w:uiPriority w:val="0"/>
    <w:rPr>
      <w:kern w:val="2"/>
      <w:sz w:val="18"/>
      <w:szCs w:val="18"/>
    </w:rPr>
  </w:style>
  <w:style w:type="character" w:customStyle="1" w:styleId="10">
    <w:name w:val="页脚 Char"/>
    <w:basedOn w:val="8"/>
    <w:link w:val="3"/>
    <w:qFormat/>
    <w:uiPriority w:val="0"/>
    <w:rPr>
      <w:kern w:val="2"/>
      <w:sz w:val="18"/>
      <w:szCs w:val="18"/>
    </w:rPr>
  </w:style>
  <w:style w:type="character" w:customStyle="1" w:styleId="11">
    <w:name w:val="HTML 预设格式 Char"/>
    <w:basedOn w:val="8"/>
    <w:link w:val="5"/>
    <w:qFormat/>
    <w:uiPriority w:val="0"/>
    <w:rPr>
      <w:rFonts w:ascii="宋体" w:hAnsi="宋体"/>
      <w:sz w:val="24"/>
      <w:szCs w:val="24"/>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1496</Words>
  <Characters>1604</Characters>
  <Lines>9</Lines>
  <Paragraphs>2</Paragraphs>
  <TotalTime>4</TotalTime>
  <ScaleCrop>false</ScaleCrop>
  <LinksUpToDate>false</LinksUpToDate>
  <CharactersWithSpaces>1611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2019-02-25T02:36:00Z</dcterms:created>
  <dc:creator>Administrator</dc:creator>
  <cp:lastModifiedBy>Administrator</cp:lastModifiedBy>
  <cp:lastPrinted>2022-02-15T09:55:00Z</cp:lastPrinted>
  <dcterms:modified xsi:type="dcterms:W3CDTF">2023-03-21T08:02:42Z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7E0C09398FA7482E9973D6F10CF8040B</vt:lpwstr>
  </property>
</Properties>
</file>